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2DE6A7" w14:textId="6253328D" w:rsidR="0085644D" w:rsidRDefault="0085644D" w:rsidP="0085644D">
      <w:pPr>
        <w:jc w:val="center"/>
        <w:rPr>
          <w:b/>
          <w:bCs/>
          <w:sz w:val="24"/>
          <w:szCs w:val="24"/>
        </w:rPr>
      </w:pPr>
      <w:r>
        <w:rPr>
          <w:b/>
          <w:bCs/>
          <w:noProof/>
          <w:sz w:val="24"/>
          <w:szCs w:val="24"/>
        </w:rPr>
        <w:drawing>
          <wp:inline distT="0" distB="0" distL="0" distR="0" wp14:anchorId="2CC73E17" wp14:editId="5B5B9DEB">
            <wp:extent cx="850900" cy="914400"/>
            <wp:effectExtent l="0" t="0" r="0" b="0"/>
            <wp:docPr id="1629990417" name="Image 1" descr="Une image contenant cercle, capture d’écra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9990417" name="Image 1" descr="Une image contenant cercle, capture d’écran&#10;&#10;Description générée automatiquement"/>
                    <pic:cNvPicPr/>
                  </pic:nvPicPr>
                  <pic:blipFill>
                    <a:blip r:embed="rId8">
                      <a:extLst>
                        <a:ext uri="{28A0092B-C50C-407E-A947-70E740481C1C}">
                          <a14:useLocalDpi xmlns:a14="http://schemas.microsoft.com/office/drawing/2010/main" val="0"/>
                        </a:ext>
                      </a:extLst>
                    </a:blip>
                    <a:stretch>
                      <a:fillRect/>
                    </a:stretch>
                  </pic:blipFill>
                  <pic:spPr>
                    <a:xfrm>
                      <a:off x="0" y="0"/>
                      <a:ext cx="850900" cy="914400"/>
                    </a:xfrm>
                    <a:prstGeom prst="rect">
                      <a:avLst/>
                    </a:prstGeom>
                  </pic:spPr>
                </pic:pic>
              </a:graphicData>
            </a:graphic>
          </wp:inline>
        </w:drawing>
      </w:r>
    </w:p>
    <w:p w14:paraId="1AF20D8D" w14:textId="2A56775D" w:rsidR="00FE0B40" w:rsidRPr="007F1022" w:rsidRDefault="00FE0B40" w:rsidP="0085644D">
      <w:pPr>
        <w:pBdr>
          <w:top w:val="single" w:sz="4" w:space="1" w:color="auto"/>
          <w:left w:val="single" w:sz="4" w:space="4" w:color="auto"/>
          <w:bottom w:val="single" w:sz="4" w:space="1" w:color="auto"/>
          <w:right w:val="single" w:sz="4" w:space="4" w:color="auto"/>
        </w:pBdr>
        <w:jc w:val="center"/>
        <w:rPr>
          <w:b/>
          <w:bCs/>
          <w:sz w:val="24"/>
          <w:szCs w:val="24"/>
        </w:rPr>
      </w:pPr>
      <w:r w:rsidRPr="007F1022">
        <w:rPr>
          <w:b/>
          <w:bCs/>
          <w:sz w:val="24"/>
          <w:szCs w:val="24"/>
        </w:rPr>
        <w:t>Fiche d'information Assurance Accident corporel Volontaires Saint-Vincent-de-Paul</w:t>
      </w:r>
    </w:p>
    <w:p w14:paraId="0C9A062A" w14:textId="7858FEED" w:rsidR="00FE0B40" w:rsidRPr="0085644D" w:rsidRDefault="00FE0B40" w:rsidP="00FE0B40">
      <w:pPr>
        <w:rPr>
          <w:b/>
          <w:bCs/>
          <w:color w:val="00B0F0"/>
        </w:rPr>
      </w:pPr>
      <w:r w:rsidRPr="0085644D">
        <w:rPr>
          <w:b/>
          <w:bCs/>
          <w:color w:val="00B0F0"/>
        </w:rPr>
        <w:t>Qui ?</w:t>
      </w:r>
    </w:p>
    <w:p w14:paraId="0BEB3D85" w14:textId="510FAD49" w:rsidR="00FE0B40" w:rsidRDefault="00FE0B40" w:rsidP="00FE0B40">
      <w:pPr>
        <w:pStyle w:val="Paragraphedeliste"/>
        <w:numPr>
          <w:ilvl w:val="0"/>
          <w:numId w:val="1"/>
        </w:numPr>
      </w:pPr>
      <w:r>
        <w:t>Les volontaires inscrits</w:t>
      </w:r>
    </w:p>
    <w:p w14:paraId="5AA3DD00" w14:textId="5E9A3986" w:rsidR="00FE0B40" w:rsidRDefault="00FE0B40" w:rsidP="00FE0B40">
      <w:pPr>
        <w:pStyle w:val="Paragraphedeliste"/>
        <w:numPr>
          <w:ilvl w:val="0"/>
          <w:numId w:val="1"/>
        </w:numPr>
      </w:pPr>
      <w:r>
        <w:t>Bénévoles occasionnels non enregistrés (services occasionnels ad hoc)</w:t>
      </w:r>
    </w:p>
    <w:p w14:paraId="5B621FFE" w14:textId="3BC245E0" w:rsidR="00FE0B40" w:rsidRPr="0085644D" w:rsidRDefault="001D7256" w:rsidP="00FE0B40">
      <w:pPr>
        <w:rPr>
          <w:b/>
          <w:bCs/>
          <w:color w:val="00B0F0"/>
        </w:rPr>
      </w:pPr>
      <w:r w:rsidRPr="0085644D">
        <w:rPr>
          <w:b/>
          <w:bCs/>
          <w:color w:val="00B0F0"/>
        </w:rPr>
        <w:t>Quoi ?</w:t>
      </w:r>
      <w:r w:rsidR="00FE0B40" w:rsidRPr="0085644D">
        <w:rPr>
          <w:b/>
          <w:bCs/>
          <w:color w:val="00B0F0"/>
        </w:rPr>
        <w:t xml:space="preserve"> </w:t>
      </w:r>
    </w:p>
    <w:p w14:paraId="5E7228B1" w14:textId="17803A78" w:rsidR="00FE0B40" w:rsidRDefault="00FE0B40" w:rsidP="007F1022">
      <w:r>
        <w:t>Un accident physique (= cause soudaine, imprévue et extérieure - donc pas de maladie comme par exemple une crise cardiaque ou une déchirure musculaire) entraînant et/ou :</w:t>
      </w:r>
    </w:p>
    <w:p w14:paraId="5C8FEAD6" w14:textId="171BA15A" w:rsidR="00FE0B40" w:rsidRDefault="00FE0B40" w:rsidP="007F1022">
      <w:pPr>
        <w:pStyle w:val="Paragraphedeliste"/>
        <w:numPr>
          <w:ilvl w:val="0"/>
          <w:numId w:val="4"/>
        </w:numPr>
      </w:pPr>
      <w:r>
        <w:t xml:space="preserve">Décès 12 500 euros </w:t>
      </w:r>
    </w:p>
    <w:p w14:paraId="1830FA19" w14:textId="6C573F53" w:rsidR="00FE0B40" w:rsidRDefault="00FE0B40" w:rsidP="00FE0B40">
      <w:pPr>
        <w:pStyle w:val="Paragraphedeliste"/>
        <w:numPr>
          <w:ilvl w:val="0"/>
          <w:numId w:val="4"/>
        </w:numPr>
      </w:pPr>
      <w:r>
        <w:t>Invalidité permanente : 30 000 euros à 100 % (ou pourcentage en cas d'invalidité permanente partielle).</w:t>
      </w:r>
    </w:p>
    <w:p w14:paraId="29F74934" w14:textId="6048E739" w:rsidR="00FE0B40" w:rsidRDefault="00FE0B40" w:rsidP="00FE0B40">
      <w:pPr>
        <w:pStyle w:val="Paragraphedeliste"/>
        <w:numPr>
          <w:ilvl w:val="0"/>
          <w:numId w:val="4"/>
        </w:numPr>
      </w:pPr>
      <w:r>
        <w:t>Incapacité temporaire de travail : € 10 /jour (à partir du 8ème jour) - en cas d'hospitalisation pour chaque jour d'hospitalisation - en cas d'aide-ménagère avec preuve pour les plus de 70 ans : à partir du 1er jour - toujours max. 1 an</w:t>
      </w:r>
    </w:p>
    <w:p w14:paraId="0EC02B9B" w14:textId="65E6043E" w:rsidR="00FE0B40" w:rsidRDefault="00FE0B40" w:rsidP="00FE0B40">
      <w:pPr>
        <w:pStyle w:val="Paragraphedeliste"/>
        <w:numPr>
          <w:ilvl w:val="0"/>
          <w:numId w:val="4"/>
        </w:numPr>
      </w:pPr>
      <w:r>
        <w:t>Frais médicaux :</w:t>
      </w:r>
    </w:p>
    <w:p w14:paraId="7D55995E" w14:textId="54EE9433" w:rsidR="00FE0B40" w:rsidRDefault="00FE0B40" w:rsidP="00FE0B40">
      <w:pPr>
        <w:pStyle w:val="Paragraphedeliste"/>
        <w:numPr>
          <w:ilvl w:val="1"/>
          <w:numId w:val="3"/>
        </w:numPr>
      </w:pPr>
      <w:r>
        <w:t>Remboursement jusqu'à 100% du barème INAMI + max. 5.000 EUR pour les frais non INAMI (p.ex. suppléments hospitaliers, pansements, pommades pour le traitement des plaies, analgésiques ...)</w:t>
      </w:r>
    </w:p>
    <w:p w14:paraId="57E9B6F7" w14:textId="67524D64" w:rsidR="00FE0B40" w:rsidRDefault="00FE0B40" w:rsidP="00FE0B40">
      <w:pPr>
        <w:pStyle w:val="Paragraphedeliste"/>
        <w:numPr>
          <w:ilvl w:val="1"/>
          <w:numId w:val="3"/>
        </w:numPr>
      </w:pPr>
      <w:r>
        <w:t>Limites : pour la monture de lunettes € 250 ; pour l'orthopédie € 1.500 ; pour l'audition € 1.250 ; pour les prothèses dentaires € 375 ; max/dent € 500</w:t>
      </w:r>
    </w:p>
    <w:p w14:paraId="3C1CF979" w14:textId="5B7D070C" w:rsidR="00FE0B40" w:rsidRDefault="00FE0B40" w:rsidP="00FE0B40">
      <w:pPr>
        <w:pStyle w:val="Paragraphedeliste"/>
        <w:numPr>
          <w:ilvl w:val="1"/>
          <w:numId w:val="3"/>
        </w:numPr>
      </w:pPr>
      <w:r>
        <w:t xml:space="preserve">Autres frais :  </w:t>
      </w:r>
    </w:p>
    <w:p w14:paraId="3E9B6555" w14:textId="1EC54E8D" w:rsidR="00FE0B40" w:rsidRDefault="00FE0B40" w:rsidP="00FE0B40">
      <w:pPr>
        <w:pStyle w:val="Paragraphedeliste"/>
        <w:numPr>
          <w:ilvl w:val="0"/>
          <w:numId w:val="5"/>
        </w:numPr>
      </w:pPr>
      <w:r>
        <w:t xml:space="preserve">Dommages matériels en cas de dommages corporels. (par ex. vêtements, bicyclette,...) Max. € 3.000 Franchise € 100 </w:t>
      </w:r>
    </w:p>
    <w:p w14:paraId="6A8B4791" w14:textId="0169E6B4" w:rsidR="00FE0B40" w:rsidRDefault="00FE0B40" w:rsidP="00FE0B40">
      <w:pPr>
        <w:pStyle w:val="Paragraphedeliste"/>
        <w:numPr>
          <w:ilvl w:val="0"/>
          <w:numId w:val="5"/>
        </w:numPr>
      </w:pPr>
      <w:r>
        <w:t>Frais d'obsèques € 2.500</w:t>
      </w:r>
    </w:p>
    <w:p w14:paraId="1EEE8DD2" w14:textId="79BB8240" w:rsidR="00B84D2D" w:rsidRDefault="00FE0B40" w:rsidP="00FE0B40">
      <w:pPr>
        <w:pStyle w:val="Paragraphedeliste"/>
        <w:numPr>
          <w:ilvl w:val="0"/>
          <w:numId w:val="5"/>
        </w:numPr>
      </w:pPr>
      <w:r>
        <w:t>Frais de recherche et de rapatriement 5.000 € et frais de soins à l'étranger 3.750 €.</w:t>
      </w:r>
    </w:p>
    <w:p w14:paraId="77705664" w14:textId="72D01325" w:rsidR="001D7256" w:rsidRPr="0085644D" w:rsidRDefault="001D7256" w:rsidP="001D7256">
      <w:pPr>
        <w:rPr>
          <w:b/>
          <w:bCs/>
          <w:color w:val="00B0F0"/>
        </w:rPr>
      </w:pPr>
      <w:r w:rsidRPr="0085644D">
        <w:rPr>
          <w:b/>
          <w:bCs/>
          <w:color w:val="00B0F0"/>
        </w:rPr>
        <w:t xml:space="preserve">Quand ? </w:t>
      </w:r>
    </w:p>
    <w:p w14:paraId="2BAF36EF" w14:textId="581D7C08" w:rsidR="001D7256" w:rsidRDefault="001D7256" w:rsidP="001D7256">
      <w:r>
        <w:t xml:space="preserve">Toutes les activités de </w:t>
      </w:r>
      <w:r w:rsidR="007F1022">
        <w:t>Saint-Vincent-de-Paul</w:t>
      </w:r>
      <w:r>
        <w:t xml:space="preserve"> + trajet aller-retour entre le domicile et le lieu de ces activités (y compris les activités annexes telles que les réunions, les sorties, l'organisation d'activités temporaires, etc.) ! Seul le trajet normal/le plus court entre le domicile et le lieu de travail et retour est garanti.</w:t>
      </w:r>
    </w:p>
    <w:p w14:paraId="7BDB4B5B" w14:textId="29999B9D" w:rsidR="001D7256" w:rsidRPr="0085644D" w:rsidRDefault="001D7256" w:rsidP="001D7256">
      <w:pPr>
        <w:rPr>
          <w:b/>
          <w:bCs/>
          <w:color w:val="00B0F0"/>
        </w:rPr>
      </w:pPr>
      <w:r w:rsidRPr="0085644D">
        <w:rPr>
          <w:b/>
          <w:bCs/>
          <w:color w:val="00B0F0"/>
        </w:rPr>
        <w:t>Procédure</w:t>
      </w:r>
      <w:r w:rsidR="007F1022" w:rsidRPr="0085644D">
        <w:rPr>
          <w:b/>
          <w:bCs/>
          <w:color w:val="00B0F0"/>
        </w:rPr>
        <w:t xml:space="preserve"> en cas de sinistre</w:t>
      </w:r>
    </w:p>
    <w:p w14:paraId="7E4849EA" w14:textId="1A6DC1A3" w:rsidR="007F1022" w:rsidRDefault="007F1022" w:rsidP="007F1022">
      <w:r>
        <w:t>a) Télécharger</w:t>
      </w:r>
      <w:r w:rsidR="001D7256">
        <w:t xml:space="preserve"> le </w:t>
      </w:r>
      <w:proofErr w:type="spellStart"/>
      <w:r w:rsidR="001D7256">
        <w:t>pdf</w:t>
      </w:r>
      <w:proofErr w:type="spellEnd"/>
      <w:r w:rsidR="001D7256">
        <w:t xml:space="preserve"> à remplir via le site web </w:t>
      </w:r>
      <w:r>
        <w:t>de Saint-Vincent-de-Paul :</w:t>
      </w:r>
      <w:r w:rsidR="001D7256">
        <w:t xml:space="preserve"> </w:t>
      </w:r>
    </w:p>
    <w:p w14:paraId="26E6EEC7" w14:textId="18332CBF" w:rsidR="001D7256" w:rsidRDefault="007F1022" w:rsidP="007F1022">
      <w:pPr>
        <w:rPr>
          <w:u w:val="single"/>
        </w:rPr>
      </w:pPr>
      <w:r w:rsidRPr="007F1022">
        <w:rPr>
          <w:u w:val="single"/>
        </w:rPr>
        <w:t>www.vincentdepaul.be/espace-membres/document-center</w:t>
      </w:r>
      <w:r w:rsidR="001D7256" w:rsidRPr="007F1022">
        <w:rPr>
          <w:u w:val="single"/>
        </w:rPr>
        <w:t xml:space="preserve"> </w:t>
      </w:r>
    </w:p>
    <w:p w14:paraId="04630091" w14:textId="3F503AC7" w:rsidR="001D7256" w:rsidRDefault="001D7256" w:rsidP="001D7256">
      <w:r>
        <w:t xml:space="preserve">b) Envoyer la déclaration à </w:t>
      </w:r>
      <w:r w:rsidR="007F1022">
        <w:t>bs@dap.be</w:t>
      </w:r>
      <w:r>
        <w:t xml:space="preserve"> - Numéro de téléphone : </w:t>
      </w:r>
      <w:r w:rsidR="007F1022">
        <w:t>02/899.86.47</w:t>
      </w:r>
    </w:p>
    <w:p w14:paraId="65197DF6" w14:textId="50659D09" w:rsidR="001D7256" w:rsidRDefault="001D7256" w:rsidP="001D7256">
      <w:r>
        <w:lastRenderedPageBreak/>
        <w:t>c) Le gestionnaire de sinistres vérifie toutes les données (contacte la victime si nécessaire), les transmet à l'assureur Belfius et les confirme à la victime.</w:t>
      </w:r>
    </w:p>
    <w:p w14:paraId="1E02248E" w14:textId="77777777" w:rsidR="001D7256" w:rsidRDefault="001D7256" w:rsidP="001D7256">
      <w:r>
        <w:t xml:space="preserve">d) A partir de ce moment, tout se passe directement entre l'assureur (Belfius) et la victime. </w:t>
      </w:r>
    </w:p>
    <w:p w14:paraId="2FEAC9A1" w14:textId="0801F19B" w:rsidR="001D7256" w:rsidRDefault="001D7256" w:rsidP="001D7256">
      <w:r>
        <w:t xml:space="preserve">e) En cas de problèmes ou de questions, la victime peut s'adresser à son gestionnaire de sinistres chez </w:t>
      </w:r>
      <w:r w:rsidR="007F1022">
        <w:t xml:space="preserve">DAP </w:t>
      </w:r>
      <w:r>
        <w:t>qui l'aidera.</w:t>
      </w:r>
    </w:p>
    <w:p w14:paraId="5504353E" w14:textId="30E8285A" w:rsidR="007F1022" w:rsidRDefault="007F1022" w:rsidP="001D7256">
      <w:r w:rsidRPr="007F1022">
        <w:t>Attention : soyez aussi complet que possible dans votre déclaration et conservez toutes les photos et tous les documents relatifs à vos dommages. Il est préférable de ne percevoir les frais médicaux qu'après le rétablissement et de ne les payer qu'après le règlement avec la mutualité. Tant que votre dossier n'est pas officiellement clôturé, vous pouvez continuer à</w:t>
      </w:r>
      <w:r>
        <w:t xml:space="preserve"> faire des demandes de remboursements</w:t>
      </w:r>
      <w:r w:rsidRPr="007F1022">
        <w:t>.</w:t>
      </w:r>
    </w:p>
    <w:sectPr w:rsidR="007F102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E25254"/>
    <w:multiLevelType w:val="hybridMultilevel"/>
    <w:tmpl w:val="26584C7A"/>
    <w:lvl w:ilvl="0" w:tplc="080C0017">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 w15:restartNumberingAfterBreak="0">
    <w:nsid w:val="28BD0E81"/>
    <w:multiLevelType w:val="hybridMultilevel"/>
    <w:tmpl w:val="FBF2212C"/>
    <w:lvl w:ilvl="0" w:tplc="080C0001">
      <w:start w:val="1"/>
      <w:numFmt w:val="bullet"/>
      <w:lvlText w:val=""/>
      <w:lvlJc w:val="left"/>
      <w:pPr>
        <w:ind w:left="720" w:hanging="360"/>
      </w:pPr>
      <w:rPr>
        <w:rFonts w:ascii="Symbol" w:hAnsi="Symbol" w:hint="default"/>
      </w:rPr>
    </w:lvl>
    <w:lvl w:ilvl="1" w:tplc="055E2FFA">
      <w:numFmt w:val="bullet"/>
      <w:lvlText w:val="-"/>
      <w:lvlJc w:val="left"/>
      <w:pPr>
        <w:ind w:left="1440" w:hanging="360"/>
      </w:pPr>
      <w:rPr>
        <w:rFonts w:ascii="Calibri" w:eastAsiaTheme="minorHAnsi" w:hAnsi="Calibri" w:cs="Calibri"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5EA94502"/>
    <w:multiLevelType w:val="hybridMultilevel"/>
    <w:tmpl w:val="92100EE8"/>
    <w:lvl w:ilvl="0" w:tplc="080C000B">
      <w:start w:val="1"/>
      <w:numFmt w:val="bullet"/>
      <w:lvlText w:val=""/>
      <w:lvlJc w:val="left"/>
      <w:pPr>
        <w:ind w:left="720" w:hanging="360"/>
      </w:pPr>
      <w:rPr>
        <w:rFonts w:ascii="Wingdings" w:hAnsi="Wingdings"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60E63480"/>
    <w:multiLevelType w:val="hybridMultilevel"/>
    <w:tmpl w:val="D3F84F18"/>
    <w:lvl w:ilvl="0" w:tplc="080C0017">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 w15:restartNumberingAfterBreak="0">
    <w:nsid w:val="61483F6D"/>
    <w:multiLevelType w:val="hybridMultilevel"/>
    <w:tmpl w:val="035C3E52"/>
    <w:lvl w:ilvl="0" w:tplc="080C000B">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15:restartNumberingAfterBreak="0">
    <w:nsid w:val="6A5F7993"/>
    <w:multiLevelType w:val="hybridMultilevel"/>
    <w:tmpl w:val="C896BBE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 w15:restartNumberingAfterBreak="0">
    <w:nsid w:val="6ADF2B68"/>
    <w:multiLevelType w:val="hybridMultilevel"/>
    <w:tmpl w:val="085C20D4"/>
    <w:lvl w:ilvl="0" w:tplc="080C0005">
      <w:start w:val="1"/>
      <w:numFmt w:val="bullet"/>
      <w:lvlText w:val=""/>
      <w:lvlJc w:val="left"/>
      <w:pPr>
        <w:ind w:left="1776" w:hanging="360"/>
      </w:pPr>
      <w:rPr>
        <w:rFonts w:ascii="Wingdings" w:hAnsi="Wingdings" w:hint="default"/>
      </w:rPr>
    </w:lvl>
    <w:lvl w:ilvl="1" w:tplc="080C0003" w:tentative="1">
      <w:start w:val="1"/>
      <w:numFmt w:val="bullet"/>
      <w:lvlText w:val="o"/>
      <w:lvlJc w:val="left"/>
      <w:pPr>
        <w:ind w:left="2496" w:hanging="360"/>
      </w:pPr>
      <w:rPr>
        <w:rFonts w:ascii="Courier New" w:hAnsi="Courier New" w:cs="Courier New" w:hint="default"/>
      </w:rPr>
    </w:lvl>
    <w:lvl w:ilvl="2" w:tplc="080C0005" w:tentative="1">
      <w:start w:val="1"/>
      <w:numFmt w:val="bullet"/>
      <w:lvlText w:val=""/>
      <w:lvlJc w:val="left"/>
      <w:pPr>
        <w:ind w:left="3216" w:hanging="360"/>
      </w:pPr>
      <w:rPr>
        <w:rFonts w:ascii="Wingdings" w:hAnsi="Wingdings" w:hint="default"/>
      </w:rPr>
    </w:lvl>
    <w:lvl w:ilvl="3" w:tplc="080C0001" w:tentative="1">
      <w:start w:val="1"/>
      <w:numFmt w:val="bullet"/>
      <w:lvlText w:val=""/>
      <w:lvlJc w:val="left"/>
      <w:pPr>
        <w:ind w:left="3936" w:hanging="360"/>
      </w:pPr>
      <w:rPr>
        <w:rFonts w:ascii="Symbol" w:hAnsi="Symbol" w:hint="default"/>
      </w:rPr>
    </w:lvl>
    <w:lvl w:ilvl="4" w:tplc="080C0003" w:tentative="1">
      <w:start w:val="1"/>
      <w:numFmt w:val="bullet"/>
      <w:lvlText w:val="o"/>
      <w:lvlJc w:val="left"/>
      <w:pPr>
        <w:ind w:left="4656" w:hanging="360"/>
      </w:pPr>
      <w:rPr>
        <w:rFonts w:ascii="Courier New" w:hAnsi="Courier New" w:cs="Courier New" w:hint="default"/>
      </w:rPr>
    </w:lvl>
    <w:lvl w:ilvl="5" w:tplc="080C0005" w:tentative="1">
      <w:start w:val="1"/>
      <w:numFmt w:val="bullet"/>
      <w:lvlText w:val=""/>
      <w:lvlJc w:val="left"/>
      <w:pPr>
        <w:ind w:left="5376" w:hanging="360"/>
      </w:pPr>
      <w:rPr>
        <w:rFonts w:ascii="Wingdings" w:hAnsi="Wingdings" w:hint="default"/>
      </w:rPr>
    </w:lvl>
    <w:lvl w:ilvl="6" w:tplc="080C0001" w:tentative="1">
      <w:start w:val="1"/>
      <w:numFmt w:val="bullet"/>
      <w:lvlText w:val=""/>
      <w:lvlJc w:val="left"/>
      <w:pPr>
        <w:ind w:left="6096" w:hanging="360"/>
      </w:pPr>
      <w:rPr>
        <w:rFonts w:ascii="Symbol" w:hAnsi="Symbol" w:hint="default"/>
      </w:rPr>
    </w:lvl>
    <w:lvl w:ilvl="7" w:tplc="080C0003" w:tentative="1">
      <w:start w:val="1"/>
      <w:numFmt w:val="bullet"/>
      <w:lvlText w:val="o"/>
      <w:lvlJc w:val="left"/>
      <w:pPr>
        <w:ind w:left="6816" w:hanging="360"/>
      </w:pPr>
      <w:rPr>
        <w:rFonts w:ascii="Courier New" w:hAnsi="Courier New" w:cs="Courier New" w:hint="default"/>
      </w:rPr>
    </w:lvl>
    <w:lvl w:ilvl="8" w:tplc="080C0005" w:tentative="1">
      <w:start w:val="1"/>
      <w:numFmt w:val="bullet"/>
      <w:lvlText w:val=""/>
      <w:lvlJc w:val="left"/>
      <w:pPr>
        <w:ind w:left="7536" w:hanging="360"/>
      </w:pPr>
      <w:rPr>
        <w:rFonts w:ascii="Wingdings" w:hAnsi="Wingdings" w:hint="default"/>
      </w:rPr>
    </w:lvl>
  </w:abstractNum>
  <w:num w:numId="1" w16cid:durableId="1029257705">
    <w:abstractNumId w:val="5"/>
  </w:num>
  <w:num w:numId="2" w16cid:durableId="1581137501">
    <w:abstractNumId w:val="1"/>
  </w:num>
  <w:num w:numId="3" w16cid:durableId="1026370051">
    <w:abstractNumId w:val="2"/>
  </w:num>
  <w:num w:numId="4" w16cid:durableId="548877571">
    <w:abstractNumId w:val="4"/>
  </w:num>
  <w:num w:numId="5" w16cid:durableId="866134961">
    <w:abstractNumId w:val="6"/>
  </w:num>
  <w:num w:numId="6" w16cid:durableId="1977031954">
    <w:abstractNumId w:val="3"/>
  </w:num>
  <w:num w:numId="7" w16cid:durableId="3058581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0B40"/>
    <w:rsid w:val="001D7256"/>
    <w:rsid w:val="007F1022"/>
    <w:rsid w:val="0085644D"/>
    <w:rsid w:val="00B84D2D"/>
    <w:rsid w:val="00FE0B40"/>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C785B"/>
  <w15:chartTrackingRefBased/>
  <w15:docId w15:val="{660BE388-50FD-452E-9290-80D22AED9E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fr-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FE0B40"/>
    <w:pPr>
      <w:ind w:left="720"/>
      <w:contextualSpacing/>
    </w:pPr>
  </w:style>
  <w:style w:type="character" w:styleId="Lienhypertexte">
    <w:name w:val="Hyperlink"/>
    <w:basedOn w:val="Policepardfaut"/>
    <w:uiPriority w:val="99"/>
    <w:semiHidden/>
    <w:unhideWhenUsed/>
    <w:rsid w:val="007F102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8193A4344E9D54983B0A51A6341EA7C" ma:contentTypeVersion="6" ma:contentTypeDescription="Crée un document." ma:contentTypeScope="" ma:versionID="9f70fa9c2710338f66ffd680c214e602">
  <xsd:schema xmlns:xsd="http://www.w3.org/2001/XMLSchema" xmlns:xs="http://www.w3.org/2001/XMLSchema" xmlns:p="http://schemas.microsoft.com/office/2006/metadata/properties" xmlns:ns3="d8fa55b3-65d1-42f0-9386-be72f46523a9" xmlns:ns4="ae50042d-5025-4a16-87c1-33dfc0d0ca66" targetNamespace="http://schemas.microsoft.com/office/2006/metadata/properties" ma:root="true" ma:fieldsID="52935d6874ad45ec6fc1e5208662f25a" ns3:_="" ns4:_="">
    <xsd:import namespace="d8fa55b3-65d1-42f0-9386-be72f46523a9"/>
    <xsd:import namespace="ae50042d-5025-4a16-87c1-33dfc0d0ca66"/>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fa55b3-65d1-42f0-9386-be72f46523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50042d-5025-4a16-87c1-33dfc0d0ca66" elementFormDefault="qualified">
    <xsd:import namespace="http://schemas.microsoft.com/office/2006/documentManagement/types"/>
    <xsd:import namespace="http://schemas.microsoft.com/office/infopath/2007/PartnerControls"/>
    <xsd:element name="SharedWithUsers" ma:index="10"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Partagé avec détails" ma:internalName="SharedWithDetails" ma:readOnly="true">
      <xsd:simpleType>
        <xsd:restriction base="dms:Note">
          <xsd:maxLength value="255"/>
        </xsd:restriction>
      </xsd:simpleType>
    </xsd:element>
    <xsd:element name="SharingHintHash" ma:index="12" nillable="true" ma:displayName="Partage du hachage d’indicateu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C3FF00B-B1E8-43D0-8DC4-5D3F703DC5C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214BCE8-78E3-440F-AD59-05382A2AD1E7}">
  <ds:schemaRefs>
    <ds:schemaRef ds:uri="http://schemas.microsoft.com/sharepoint/v3/contenttype/forms"/>
  </ds:schemaRefs>
</ds:datastoreItem>
</file>

<file path=customXml/itemProps3.xml><?xml version="1.0" encoding="utf-8"?>
<ds:datastoreItem xmlns:ds="http://schemas.openxmlformats.org/officeDocument/2006/customXml" ds:itemID="{D169F37B-0D90-40A1-A526-D0514E377F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fa55b3-65d1-42f0-9386-be72f46523a9"/>
    <ds:schemaRef ds:uri="ae50042d-5025-4a16-87c1-33dfc0d0ca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2</Pages>
  <Words>412</Words>
  <Characters>2269</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BAETEN</dc:creator>
  <cp:keywords/>
  <dc:description/>
  <cp:lastModifiedBy>Frederick De Gryse</cp:lastModifiedBy>
  <cp:revision>2</cp:revision>
  <dcterms:created xsi:type="dcterms:W3CDTF">2023-12-26T16:38:00Z</dcterms:created>
  <dcterms:modified xsi:type="dcterms:W3CDTF">2023-12-27T07:17:00Z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0x010100E8193A4344E9D54983B0A51A6341EA7C</vt:lpwstr>
  </property>
</Properties>
</file>